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center"/>
        <w:rPr>
          <w:rFonts w:hint="default" w:ascii="BIZ UDゴシック" w:hAnsi="BIZ UDゴシック" w:eastAsia="BIZ UDゴシック"/>
          <w:b w:val="1"/>
          <w:sz w:val="28"/>
        </w:rPr>
      </w:pPr>
      <w:bookmarkStart w:id="0" w:name="_GoBack"/>
      <w:bookmarkEnd w:id="0"/>
      <w:r>
        <w:rPr>
          <w:rFonts w:hint="eastAsia" w:ascii="BIZ UDゴシック" w:hAnsi="BIZ UDゴシック" w:eastAsia="BIZ UDゴシック"/>
          <w:b w:val="1"/>
          <w:sz w:val="28"/>
        </w:rPr>
        <w:t>みんなで生活スタイルを見直そう！</w:t>
      </w:r>
    </w:p>
    <w:p>
      <w:pPr>
        <w:pStyle w:val="0"/>
        <w:snapToGrid w:val="0"/>
        <w:jc w:val="center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b w:val="1"/>
          <w:sz w:val="22"/>
        </w:rPr>
        <w:t>～働く人の生活習慣改善プログラム～</w:t>
      </w:r>
    </w:p>
    <w:p>
      <w:pPr>
        <w:pStyle w:val="0"/>
        <w:jc w:val="center"/>
        <w:rPr>
          <w:rFonts w:hint="default" w:ascii="BIZ UDゴシック" w:hAnsi="BIZ UDゴシック" w:eastAsia="BIZ UDゴシック"/>
          <w:sz w:val="24"/>
        </w:rPr>
      </w:pPr>
    </w:p>
    <w:p>
      <w:pPr>
        <w:pStyle w:val="0"/>
        <w:rPr>
          <w:rFonts w:hint="default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b w:val="1"/>
          <w:sz w:val="24"/>
          <w:u w:val="single" w:color="auto"/>
        </w:rPr>
        <w:t>１　生活習慣は大丈夫ですか？　　　　　　　　　　　　　　　　　　　　　　　　</w:t>
      </w:r>
    </w:p>
    <w:p>
      <w:pPr>
        <w:pStyle w:val="0"/>
        <w:ind w:left="210" w:leftChars="100" w:firstLine="210" w:firstLineChars="100"/>
        <w:jc w:val="left"/>
        <w:rPr>
          <w:rFonts w:hint="default" w:ascii="BIZ UDゴシック" w:hAnsi="BIZ UDゴシック" w:eastAsia="BIZ UDゴシック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70485</wp:posOffset>
                </wp:positionV>
                <wp:extent cx="2357755" cy="2428875"/>
                <wp:effectExtent l="635" t="635" r="29845" b="10795"/>
                <wp:wrapSquare wrapText="bothSides"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2357755" cy="2428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</w:rPr>
                              <w:t>メタボリックシンドローム該当者割合のグラフ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5.55pt;mso-position-vertical-relative:text;mso-position-horizontal-relative:text;v-text-anchor:middle;position:absolute;mso-wrap-mode:square;height:191.25pt;mso-wrap-distance-top:0pt;width:185.65pt;mso-wrap-distance-left:5.65pt;margin-left:267.60000000000002pt;z-index:2;" o:spid="_x0000_s1026" o:allowincell="t" o:allowoverlap="t" filled="t" fillcolor="#5b9bd5 [3204]" stroked="t" strokecolor="#42709c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</w:rPr>
                        <w:t>メタボリックシンドローム該当者割合のグラフ</w:t>
                      </w:r>
                    </w:p>
                  </w:txbxContent>
                </v:textbox>
                <v:imagedata o:title=""/>
                <w10:wrap type="square" side="both" anchorx="text" anchory="text"/>
              </v:rect>
            </w:pict>
          </mc:Fallback>
        </mc:AlternateContent>
      </w:r>
      <w:r>
        <w:rPr>
          <w:rFonts w:hint="eastAsia" w:ascii="BIZ UDゴシック" w:hAnsi="BIZ UDゴシック" w:eastAsia="BIZ UDゴシック"/>
          <w:sz w:val="24"/>
        </w:rPr>
        <w:t>生活習慣が乱れは、仕事の生産性や効率を</w:t>
      </w:r>
      <w:r>
        <w:rPr>
          <w:rFonts w:hint="eastAsia"/>
        </w:rPr>
        <w:drawing>
          <wp:anchor simplePos="0" relativeHeight="3" behindDoc="0" locked="0" layoutInCell="1" hidden="0" allowOverlap="1">
            <wp:simplePos x="0" y="0"/>
            <wp:positionH relativeFrom="page">
              <wp:posOffset>4298315</wp:posOffset>
            </wp:positionH>
            <wp:positionV relativeFrom="page">
              <wp:posOffset>1660525</wp:posOffset>
            </wp:positionV>
            <wp:extent cx="2590165" cy="2600325"/>
            <wp:effectExtent l="0" t="0" r="0" b="0"/>
            <wp:wrapNone/>
            <wp:docPr id="1027" name="オブジェクト 0"/>
            <a:graphic xmlns:a="http://schemas.openxmlformats.org/drawingml/2006/main">
              <a:graphicData uri="http://schemas.openxmlformats.org/drawingml/2006/chart">
                <c:chart xmlns:c="http://schemas.openxmlformats.org/drawingml/2006/chart" r:id="rId5"/>
              </a:graphicData>
            </a:graphic>
          </wp:anchor>
        </w:drawing>
      </w:r>
      <w:r>
        <w:rPr>
          <w:rFonts w:hint="eastAsia" w:ascii="BIZ UDゴシック" w:hAnsi="BIZ UDゴシック" w:eastAsia="BIZ UDゴシック"/>
          <w:sz w:val="24"/>
        </w:rPr>
        <w:t>低下させます。さらに、体調を崩した場合には、会社を休まなければならない可能性もあ</w: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870585</wp:posOffset>
                </wp:positionV>
                <wp:extent cx="1095375" cy="390525"/>
                <wp:effectExtent l="19685" t="34925" r="29210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 flipV="1">
                          <a:off x="0" y="0"/>
                          <a:ext cx="1095375" cy="390525"/>
                        </a:xfrm>
                        <a:prstGeom prst="line">
                          <a:avLst/>
                        </a:prstGeom>
                        <a:ln w="38100" cap="flat" cmpd="sng" algn="ctr">
                          <a:solidFill>
                            <a:schemeClr val="tx1"/>
                          </a:solidFill>
                          <a:prstDash val="sysDot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4;" o:spid="_x0000_s1028" o:allowincell="t" o:allowoverlap="t" filled="f" stroked="t" strokecolor="#000000 [3213]" strokeweight="3pt" o:spt="20" from="308.65000000000003pt,68.55pt" to="394.9pt,99.300000000000011pt">
                <v:fill/>
                <v:stroke linestyle="single" miterlimit="8" endcap="flat" dashstyle="shortdot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BIZ UDゴシック" w:hAnsi="BIZ UDゴシック" w:eastAsia="BIZ UDゴシック"/>
          <w:sz w:val="24"/>
        </w:rPr>
        <w:t>ります。</w:t>
      </w:r>
    </w:p>
    <w:p>
      <w:pPr>
        <w:pStyle w:val="0"/>
        <w:ind w:left="210" w:leftChars="100" w:firstLine="240" w:firstLineChars="100"/>
        <w:jc w:val="left"/>
        <w:rPr>
          <w:rFonts w:hint="default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sz w:val="24"/>
        </w:rPr>
        <w:t>また、右の図のとおり、男性、女性ともに</w:t>
      </w:r>
      <w:r>
        <w:rPr>
          <w:rFonts w:hint="eastAsia" w:ascii="BIZ UDゴシック" w:hAnsi="BIZ UDゴシック" w:eastAsia="BIZ UDゴシック"/>
          <w:sz w:val="24"/>
        </w:rPr>
        <w:t>40</w:t>
      </w:r>
      <w:r>
        <w:rPr>
          <w:rFonts w:hint="eastAsia" w:ascii="BIZ UDゴシック" w:hAnsi="BIZ UDゴシック" w:eastAsia="BIZ UDゴシック"/>
          <w:sz w:val="24"/>
        </w:rPr>
        <w:t>歳ごろから、生活習慣病であるメタボリックシンドローム該当者の割合が増加しますが、予防には、若いころからの健康づくりが大切です。</w:t>
      </w:r>
    </w:p>
    <w:p>
      <w:pPr>
        <w:pStyle w:val="0"/>
        <w:ind w:left="210" w:leftChars="100" w:firstLine="240" w:firstLineChars="100"/>
        <w:jc w:val="left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sz w:val="24"/>
        </w:rPr>
        <w:t>そのため、静岡県では、事業所の従業員の方が生活習慣を見直し、改善いただくことを目指し、このプログラムを作成しました。</w:t>
      </w:r>
    </w:p>
    <w:p>
      <w:pPr>
        <w:pStyle w:val="0"/>
        <w:rPr>
          <w:rFonts w:hint="default" w:ascii="BIZ UDゴシック" w:hAnsi="BIZ UDゴシック" w:eastAsia="BIZ UDゴシック"/>
          <w:sz w:val="24"/>
        </w:rPr>
      </w:pPr>
    </w:p>
    <w:p>
      <w:pPr>
        <w:pStyle w:val="0"/>
        <w:rPr>
          <w:rFonts w:hint="default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b w:val="1"/>
          <w:sz w:val="24"/>
          <w:u w:val="single" w:color="auto"/>
        </w:rPr>
        <w:t>２　プログラムの概要　　　　　　　　　　　　　　　　　　　　　　　　　　　</w:t>
      </w:r>
    </w:p>
    <w:p>
      <w:pPr>
        <w:pStyle w:val="0"/>
        <w:ind w:left="210" w:leftChars="100" w:firstLine="240" w:firstLineChars="100"/>
        <w:rPr>
          <w:rFonts w:hint="default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0"/>
          <w:sz w:val="24"/>
        </w:rPr>
        <w:t>下の図のとおり、</w:t>
      </w:r>
      <w:r>
        <w:rPr>
          <w:rFonts w:hint="eastAsia" w:ascii="BIZ UDゴシック" w:hAnsi="BIZ UDゴシック" w:eastAsia="BIZ UDゴシック"/>
          <w:b w:val="1"/>
          <w:sz w:val="24"/>
        </w:rPr>
        <w:t>①生活習慣の振り返り、②行動目標の設定、③仲間との取組、④取組評価を繰り返す</w:t>
      </w:r>
      <w:r>
        <w:rPr>
          <w:rFonts w:hint="eastAsia" w:ascii="BIZ UDゴシック" w:hAnsi="BIZ UDゴシック" w:eastAsia="BIZ UDゴシック"/>
          <w:sz w:val="24"/>
        </w:rPr>
        <w:t>ことで、</w:t>
      </w:r>
      <w:r>
        <w:rPr>
          <w:rFonts w:hint="eastAsia" w:ascii="BIZ UDゴシック" w:hAnsi="BIZ UDゴシック" w:eastAsia="BIZ UDゴシック"/>
          <w:b w:val="1"/>
          <w:sz w:val="24"/>
        </w:rPr>
        <w:t>望ましい生活習慣の獲得</w:t>
      </w:r>
      <w:r>
        <w:rPr>
          <w:rFonts w:hint="eastAsia" w:ascii="BIZ UDゴシック" w:hAnsi="BIZ UDゴシック" w:eastAsia="BIZ UDゴシック"/>
          <w:sz w:val="24"/>
        </w:rPr>
        <w:t>を目的したプログラムです。一人では難しいことでも、仲間と取り組むことで継続して取り組むことが出来ます。</w:t>
      </w:r>
    </w:p>
    <w:p>
      <w:pPr>
        <w:pStyle w:val="0"/>
        <w:rPr>
          <w:rFonts w:hint="default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sz w:val="24"/>
        </w:rPr>
        <w:t>《プログラム実施の流れ》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/>
        </w:rPr>
        <w:drawing>
          <wp:inline distT="0" distB="0" distL="203200" distR="203200">
            <wp:extent cx="4692015" cy="4085590"/>
            <wp:effectExtent l="0" t="0" r="0" b="0"/>
            <wp:docPr id="1029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オブジェクト 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2015" cy="408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134" w:right="1417" w:bottom="1134" w:left="141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60"/>
  <w:bordersDoNotSurroundHeader/>
  <w:bordersDoNotSurroundFooter/>
  <w:defaultTabStop w:val="840"/>
  <w:hyphenationZone w:val="0"/>
  <w:defaultTableStyle w:val="2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0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 w:themeColor="hyperlink"/>
      <w:u w:val="single" w:color="auto"/>
    </w:rPr>
  </w:style>
  <w:style w:type="paragraph" w:styleId="18">
    <w:name w:val="Balloon Text"/>
    <w:basedOn w:val="0"/>
    <w:next w:val="18"/>
    <w:link w:val="0"/>
    <w:uiPriority w:val="0"/>
    <w:semiHidden/>
    <w:rPr>
      <w:rFonts w:asciiTheme="majorHAnsi" w:hAnsiTheme="majorHAnsi" w:eastAsiaTheme="majorEastAsia"/>
      <w:sz w:val="18"/>
    </w:rPr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</w:style>
  <w:style w:type="paragraph" w:styleId="26">
    <w:name w:val="footer"/>
    <w:basedOn w:val="0"/>
    <w:next w:val="26"/>
    <w:link w:val="2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7" w:customStyle="1">
    <w:name w:val="フッター (文字)"/>
    <w:basedOn w:val="10"/>
    <w:next w:val="27"/>
    <w:link w:val="26"/>
    <w:uiPriority w:val="0"/>
  </w:style>
  <w:style w:type="paragraph" w:styleId="28">
    <w:name w:val="Revision"/>
    <w:next w:val="28"/>
    <w:link w:val="0"/>
    <w:uiPriority w:val="0"/>
    <w:rPr/>
  </w:style>
  <w:style w:type="table" w:styleId="29" w:customStyle="1">
    <w:name w:val="表（シンプル 1）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chart" Target="charts/chart1.xml" /><Relationship Id="rId6" Type="http://schemas.openxmlformats.org/officeDocument/2006/relationships/image" Target="media/image1.emf" /><Relationship Id="rId7" Type="http://schemas.microsoft.com/office/2011/relationships/commentsExtended" Target="commentsExtended.xml" /></Relationships>
</file>

<file path=word/charts/_rels/chart1.xml.rels><?xml version="1.0" encoding="UTF-8"?><Relationships xmlns="http://schemas.openxmlformats.org/package/2006/relationships"><Relationship Id="rId1" Type="http://schemas.openxmlformats.org/officeDocument/2006/relationships/oleObject" Target="file:///\\Af-sv-v001\spvolume\&#20581;&#24247;&#22679;&#36914;&#35506;\&#35352;&#37682;&#29992;\2022&#24180;&#24230;\08_&#27665;&#38291;&#21332;&#20685;&#12395;&#12424;&#12427;&#20581;&#24247;&#35506;&#38988;&#35299;&#27770;&#12503;&#12525;&#12472;&#12455;&#12463;&#12488;&#12398;&#25512;&#36914;\01_&#20685;&#12367;&#20154;&#12398;&#29983;&#27963;&#32722;&#24931;&#25913;&#21892;&#12503;&#12525;&#12464;&#12521;&#12512;\02_&#20316;&#26989;&#29992;\01_&#12503;&#12525;&#12464;&#12521;&#12512;\00_&#36039;&#26009;&#20316;&#25104;&#29992;&#12487;&#12540;&#12479;\&#12503;&#12525;&#12464;&#12521;&#12512;&#20316;&#25104;&#29992;.xlsx" TargetMode="External" /><Relationship Id="rId2" Type="http://schemas.microsoft.com/office/2011/relationships/chartColorStyle" Target="colors1.xml" /><Relationship Id="rId3" Type="http://schemas.microsoft.com/office/2011/relationships/chartStyle" Target="style1.xml" /></Relationships>
</file>

<file path=word/charts/chart1.xml><?xml version="1.0" encoding="utf-8"?>
<c:chartSpace xmlns:a="http://schemas.openxmlformats.org/drawingml/2006/main" xmlns:r="http://schemas.openxmlformats.org/officeDocument/2006/relationships" xmlns:c="http://schemas.openxmlformats.org/drawingml/20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horzOverflow="overflow" wrap="square" anchor="t" anchorCtr="1"/>
          <a:lstStyle/>
          <a:p>
            <a:pPr algn="ctr" rtl="0">
              <a:defRPr kumimoji="0" lang="ja-JP" altLang="en-US" sz="900" b="1" i="0" u="none" strike="noStrike" kern="1200" spc="0" baseline="0">
                <a:solidFill>
                  <a:sysClr val="windowText" lastClr="000000"/>
                </a:solidFill>
                <a:latin typeface="BIZ UDゴシック"/>
                <a:ea typeface="BIZ UDゴシック"/>
                <a:cs typeface="+mn-cs"/>
              </a:defRPr>
            </a:pPr>
            <a:r>
              <a:rPr kumimoji="0" lang="ja-JP" altLang="en-US" sz="900" b="1" i="0" u="none" strike="noStrike" kern="1200" spc="0" baseline="0">
                <a:solidFill>
                  <a:sysClr val="windowText" lastClr="000000"/>
                </a:solidFill>
                <a:latin typeface="BIZ UDゴシック"/>
                <a:ea typeface="BIZ UDゴシック"/>
                <a:cs typeface="+mn-cs"/>
              </a:rPr>
              <a:t>メタボリックシンドローム該当者及び</a:t>
            </a:r>
            <a:endParaRPr kumimoji="0" lang="ja-JP" altLang="en-US" sz="900" b="1" i="0" u="none" strike="noStrike" kern="1200" spc="0" baseline="0">
              <a:solidFill>
                <a:sysClr val="windowText" lastClr="000000"/>
              </a:solidFill>
              <a:latin typeface="BIZ UDゴシック"/>
              <a:ea typeface="BIZ UDゴシック"/>
              <a:cs typeface="+mn-cs"/>
            </a:endParaRPr>
          </a:p>
          <a:p>
            <a:pPr algn="ctr" rtl="0">
              <a:defRPr kumimoji="0" lang="ja-JP" altLang="en-US" sz="900" b="1" i="0" u="none" strike="noStrike" kern="1200" spc="0" baseline="0">
                <a:solidFill>
                  <a:sysClr val="windowText" lastClr="000000"/>
                </a:solidFill>
                <a:latin typeface="BIZ UDゴシック"/>
                <a:ea typeface="BIZ UDゴシック"/>
                <a:cs typeface="+mn-cs"/>
              </a:defRPr>
            </a:pPr>
            <a:r>
              <a:rPr kumimoji="0" lang="ja-JP" altLang="en-US" sz="900" b="1" i="0" u="none" strike="noStrike" kern="1200" spc="0" baseline="0">
                <a:solidFill>
                  <a:sysClr val="windowText" lastClr="000000"/>
                </a:solidFill>
                <a:latin typeface="BIZ UDゴシック"/>
                <a:ea typeface="BIZ UDゴシック"/>
                <a:cs typeface="+mn-cs"/>
              </a:rPr>
              <a:t>予備軍の割合の年次推移</a:t>
            </a:r>
            <a:endParaRPr kumimoji="0" lang="ja-JP" altLang="en-US" sz="900" b="1" i="0" u="none" strike="noStrike" kern="1200" spc="0" baseline="0">
              <a:solidFill>
                <a:sysClr val="windowText" lastClr="000000"/>
              </a:solidFill>
              <a:latin typeface="BIZ UDゴシック"/>
              <a:ea typeface="BIZ UDゴシック"/>
              <a:cs typeface="+mn-cs"/>
            </a:endParaRPr>
          </a:p>
        </c:rich>
      </c:tx>
      <c:layout>
        <c:manualLayout>
          <c:xMode val="edge"/>
          <c:yMode val="edge"/>
          <c:x val="0.12546111927232434"/>
          <c:y val="2.9304029304029304e-00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538461538461539"/>
          <c:y val="0.21527777777777779"/>
          <c:w val="0.83653846153846156"/>
          <c:h val="0.673611111111111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メタボ該当者!$B$15</c:f>
              <c:strCache>
                <c:ptCount val="1"/>
                <c:pt idx="0">
                  <c:v>男性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 w="12700">
              <a:solidFill>
                <a:schemeClr val="tx1"/>
              </a:solidFill>
            </a:ln>
            <a:effectLst/>
          </c:spPr>
          <c:invertIfNegative val="0"/>
          <c:cat>
            <c:strRef>
              <c:f>メタボ該当者!$C$14:$I$14</c:f>
              <c:strCache>
                <c:ptCount val="7"/>
                <c:pt idx="0">
                  <c:v>40-44</c:v>
                </c:pt>
                <c:pt idx="1">
                  <c:v>45-49</c:v>
                </c:pt>
                <c:pt idx="2">
                  <c:v>50-54</c:v>
                </c:pt>
                <c:pt idx="3">
                  <c:v>55-59</c:v>
                </c:pt>
                <c:pt idx="4">
                  <c:v>60-64</c:v>
                </c:pt>
                <c:pt idx="5">
                  <c:v>65-69</c:v>
                </c:pt>
                <c:pt idx="6">
                  <c:v>70-74</c:v>
                </c:pt>
              </c:strCache>
            </c:strRef>
          </c:cat>
          <c:val>
            <c:numRef>
              <c:f>[プログラム作成用.xlsx]メタボ該当者!$C$15:$I$15</c:f>
              <c:numCache>
                <c:formatCode xml:space="preserve">0_ </c:formatCode>
                <c:ptCount val="7"/>
                <c:pt idx="0">
                  <c:v>28.97294688110231</c:v>
                </c:pt>
                <c:pt idx="1">
                  <c:v>35.492368202648578</c:v>
                </c:pt>
                <c:pt idx="2">
                  <c:v>40.361285571080785</c:v>
                </c:pt>
                <c:pt idx="3">
                  <c:v>42.451969150732438</c:v>
                </c:pt>
                <c:pt idx="4">
                  <c:v>45.056742157688689</c:v>
                </c:pt>
                <c:pt idx="5">
                  <c:v>47.764388965052788</c:v>
                </c:pt>
                <c:pt idx="6">
                  <c:v>48.360072388621163</c:v>
                </c:pt>
              </c:numCache>
            </c:numRef>
          </c:val>
        </c:ser>
        <c:ser>
          <c:idx val="1"/>
          <c:order val="1"/>
          <c:tx>
            <c:strRef>
              <c:f>メタボ該当者!$B$16</c:f>
              <c:strCache>
                <c:ptCount val="1"/>
                <c:pt idx="0">
                  <c:v>女性</c:v>
                </c:pt>
              </c:strCache>
            </c:strRef>
          </c:tx>
          <c:spPr>
            <a:pattFill prst="wdUpDiag">
              <a:fgClr>
                <a:schemeClr val="tx1">
                  <a:lumMod val="50000"/>
                  <a:lumOff val="50000"/>
                </a:schemeClr>
              </a:fgClr>
              <a:bgClr>
                <a:srgbClr val="FFFFFF"/>
              </a:bgClr>
            </a:pattFill>
            <a:ln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invertIfNegative val="0"/>
          <c:cat>
            <c:strRef>
              <c:f>メタボ該当者!$C$14:$I$14</c:f>
              <c:strCache>
                <c:ptCount val="7"/>
                <c:pt idx="0">
                  <c:v>40-44</c:v>
                </c:pt>
                <c:pt idx="1">
                  <c:v>45-49</c:v>
                </c:pt>
                <c:pt idx="2">
                  <c:v>50-54</c:v>
                </c:pt>
                <c:pt idx="3">
                  <c:v>55-59</c:v>
                </c:pt>
                <c:pt idx="4">
                  <c:v>60-64</c:v>
                </c:pt>
                <c:pt idx="5">
                  <c:v>65-69</c:v>
                </c:pt>
                <c:pt idx="6">
                  <c:v>70-74</c:v>
                </c:pt>
              </c:strCache>
            </c:strRef>
          </c:cat>
          <c:val>
            <c:numRef>
              <c:f>[プログラム作成用.xlsx]メタボ該当者!$C$16:$I$16</c:f>
              <c:numCache>
                <c:formatCode xml:space="preserve">0_ </c:formatCode>
                <c:ptCount val="7"/>
                <c:pt idx="0">
                  <c:v>5.7720916393930377</c:v>
                </c:pt>
                <c:pt idx="1">
                  <c:v>7.8598756575801048</c:v>
                </c:pt>
                <c:pt idx="2">
                  <c:v>10.653459341992217</c:v>
                </c:pt>
                <c:pt idx="3">
                  <c:v>12.335858926308411</c:v>
                </c:pt>
                <c:pt idx="4">
                  <c:v>14.584811923349893</c:v>
                </c:pt>
                <c:pt idx="5">
                  <c:v>16.493067531213356</c:v>
                </c:pt>
                <c:pt idx="6">
                  <c:v>17.858611871166197</c:v>
                </c:pt>
              </c:numCache>
            </c:numRef>
          </c:val>
        </c:ser>
        <c:dLbls>
          <c:spPr>
            <a:noFill/>
            <a:ln>
              <a:noFill/>
            </a:ln>
            <a:effectLst/>
          </c:spPr>
          <c:txPr>
            <a:bodyPr rot="0" spcFirstLastPara="1" vertOverflow="ellipsis" horzOverflow="overflow" wrap="square" anchor="ctr" anchorCtr="1">
              <a:spAutoFit/>
            </a:bodyPr>
            <a:lstStyle/>
            <a:p>
              <a:pPr algn="ctr" rtl="0">
                <a:defRPr lang="ja-JP" altLang="en-US" sz="900" kern="1200">
                  <a:solidFill>
                    <a:sysClr val="windowText" lastClr="000000"/>
                  </a:solidFill>
                  <a:latin typeface="BIZ UDゴシック"/>
                  <a:ea typeface="BIZ UDゴシック"/>
                  <a:cs typeface="+mn-cs"/>
                </a:defRPr>
              </a:pPr>
              <a:endParaRPr lang="ja-JP" altLang="en-US" sz="900" kern="1200">
                <a:solidFill>
                  <a:sysClr val="windowText" lastClr="000000"/>
                </a:solidFill>
                <a:latin typeface="BIZ UDゴシック"/>
                <a:ea typeface="BIZ UDゴシック"/>
                <a:cs typeface="+mn-cs"/>
              </a:endParaRPr>
            </a:p>
          </c:txPr>
          <c:showLegendKey val="0"/>
          <c:showVal val="0"/>
          <c:showCatName val="0"/>
          <c:showSerName val="0"/>
          <c:showPercent val="0"/>
          <c:showBubbleSize val="0"/>
        </c:dLbls>
        <c:gapWidth val="148"/>
        <c:overlap val="-15"/>
        <c:axId val="1"/>
        <c:axId val="2"/>
      </c:barChart>
      <c:catAx>
        <c:axId val="1"/>
        <c:scaling>
          <c:orientation val="minMax"/>
        </c:scaling>
        <c:delete val="0"/>
        <c:axPos val="b"/>
        <c:numFmt formatCode="0_ 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horzOverflow="overflow" wrap="square" anchor="ctr" anchorCtr="1"/>
          <a:lstStyle/>
          <a:p>
            <a:pPr algn="ctr" rtl="0">
              <a:defRPr kumimoji="0" lang="ja-JP" altLang="en-US" sz="800" kern="1200">
                <a:solidFill>
                  <a:sysClr val="windowText" lastClr="000000"/>
                </a:solidFill>
                <a:latin typeface="BIZ UDゴシック"/>
                <a:ea typeface="BIZ UDゴシック"/>
                <a:cs typeface="+mn-cs"/>
              </a:defRPr>
            </a:pPr>
            <a:endParaRPr lang="ja-JP" altLang="en-US"/>
          </a:p>
        </c:txPr>
        <c:crossAx val="2"/>
        <c:crosses val="autoZero"/>
        <c:auto val="1"/>
        <c:lblAlgn val="ctr"/>
        <c:lblOffset val="100"/>
        <c:noMultiLvlLbl val="0"/>
      </c:catAx>
      <c:valAx>
        <c:axId val="2"/>
        <c:scaling>
          <c:orientation val="minMax"/>
        </c:scaling>
        <c:delete val="0"/>
        <c:axPos val="l"/>
        <c:numFmt formatCode="0_ " sourceLinked="1"/>
        <c:majorTickMark val="none"/>
        <c:minorTickMark val="none"/>
        <c:tickLblPos val="nextTo"/>
        <c:spPr>
          <a:noFill/>
          <a:ln w="19050" cmpd="sng">
            <a:solidFill>
              <a:schemeClr val="tx1"/>
            </a:solidFill>
          </a:ln>
          <a:effectLst/>
        </c:spPr>
        <c:txPr>
          <a:bodyPr rot="-60000000" spcFirstLastPara="1" vertOverflow="ellipsis" horzOverflow="overflow" wrap="square" anchor="ctr" anchorCtr="1"/>
          <a:lstStyle/>
          <a:p>
            <a:pPr algn="ctr" rtl="0">
              <a:defRPr lang="ja-JP" altLang="en-US" sz="900" kern="1200">
                <a:solidFill>
                  <a:sysClr val="windowText" lastClr="000000"/>
                </a:solidFill>
                <a:latin typeface="BIZ UDゴシック"/>
                <a:ea typeface="BIZ UDゴシック"/>
                <a:cs typeface="+mn-cs"/>
              </a:defRPr>
            </a:pPr>
            <a:endParaRPr lang="ja-JP" altLang="en-US" sz="900" kern="1200">
              <a:solidFill>
                <a:sysClr val="windowText" lastClr="000000"/>
              </a:solidFill>
              <a:latin typeface="BIZ UDゴシック"/>
              <a:ea typeface="BIZ UDゴシック"/>
              <a:cs typeface="+mn-cs"/>
            </a:endParaRPr>
          </a:p>
        </c:txPr>
        <c:crossAx val="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64074074074074072"/>
          <c:y val="0.19291338582677164"/>
          <c:w val="0.3"/>
          <c:h val="6.2992125984251968e-00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horzOverflow="overflow" wrap="square" anchor="ctr" anchorCtr="1"/>
        <a:lstStyle/>
        <a:p>
          <a:pPr algn="l" rtl="0">
            <a:defRPr lang="ja-JP" altLang="en-US" sz="900" kern="1200">
              <a:solidFill>
                <a:sysClr val="windowText" lastClr="000000"/>
              </a:solidFill>
              <a:latin typeface="BIZ UDゴシック"/>
              <a:ea typeface="BIZ UDゴシック"/>
              <a:cs typeface="+mn-cs"/>
            </a:defRPr>
          </a:pPr>
          <a:endParaRPr lang="ja-JP" altLang="en-US" sz="900" kern="1200">
            <a:solidFill>
              <a:sysClr val="windowText" lastClr="000000"/>
            </a:solidFill>
            <a:latin typeface="BIZ UDゴシック"/>
            <a:ea typeface="BIZ UDゴシック"/>
            <a:cs typeface="+mn-cs"/>
          </a:endParaR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 vertOverflow="overflow" horzOverflow="overflow" anchor="ctr" anchorCtr="1"/>
    <a:lstStyle/>
    <a:p>
      <a:pPr algn="ctr" rtl="0">
        <a:defRPr lang="ja-JP" altLang="en-US">
          <a:solidFill>
            <a:sysClr val="windowText" lastClr="000000"/>
          </a:solidFill>
          <a:latin typeface="BIZ UDゴシック"/>
          <a:ea typeface="BIZ UDゴシック"/>
        </a:defRPr>
      </a:pPr>
      <a:endParaRPr lang="ja-JP" altLang="en-US">
        <a:solidFill>
          <a:sysClr val="windowText" lastClr="000000"/>
        </a:solidFill>
        <a:latin typeface="BIZ UDゴシック"/>
        <a:ea typeface="BIZ UDゴシック"/>
      </a:endParaRPr>
    </a:p>
  </c:txPr>
  <c:externalData r:id="rId1">
    <c:autoUpdate val="0"/>
  </c:externalData>
  <c:extLst>
    <c:ext xmlns:c14="http://schemas.microsoft.com/office/drawing/2007/8/2/chart" uri="{781A3756-C4B2-4CAC-9D66-4F8BD8637D16}"/>
  </c:extLst>
</c:chartSpace>
</file>

<file path=word/charts/colors1.xml><?xml version="1.0" encoding="utf-8"?>
<cs:colorStyle xmlns:a="http://schemas.openxmlformats.org/drawingml/2006/main" xmlns:cs="http://schemas.microsoft.com/office/drawing/2012/chartStyle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a="http://schemas.openxmlformats.org/drawingml/2006/main" xmlns:cs="http://schemas.microsoft.com/office/drawing/2012/chartStyle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vertOverflow="clip" horzOverflow="clip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60</TotalTime>
  <Pages>1</Pages>
  <Words>1</Words>
  <Characters>405</Characters>
  <Application>Microsoft Office Word</Application>
  <Lines>25</Lines>
  <Paragraphs>10</Paragraphs>
  <CharactersWithSpaces>458</CharactersWithSpaces>
  <AppVersion>1.20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嶋　勇輔</cp:lastModifiedBy>
  <dcterms:modified xsi:type="dcterms:W3CDTF">2023-03-30T09:43:52Z</dcterms:modified>
  <cp:revision>3</cp:revision>
</cp:coreProperties>
</file>